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Composants du système</w:t>
      </w:r>
    </w:p>
    <w:p/>
    <w:p>
      <w:pPr/>
      <w:r>
        <w:rPr>
          <w:b w:val="1"/>
          <w:bCs w:val="1"/>
        </w:rPr>
        <w:t xml:space="preserve">UA16 KNX-S actionneur universel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Garantie du fabricant: 5 ans;UC1, Code EAN: 4007841089177;Modèle: autre;Coloris: gris;Indice de protection: IP20;Classe: II;Température ambiante: de -5 jusqu'à 45 °C;Alimentation électrique: 21 – 32 V;Charge capacitive	 en μF: 140 µF;Tension d'alimentation détails: Bus KNX;Avec couplage au bus: Oui;KNX Medium: TP 256;KNX Secure: Oui;Catègorie de produits: Composants du système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089177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UA16 KNX-S actionneur universel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2026-01-15T02:09:00+01:00</dcterms:created>
  <dcterms:modified xsi:type="dcterms:W3CDTF">2026-01-15T02:09:00+01:00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